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E46" w:rsidRDefault="00A73E46">
      <w:pPr>
        <w:rPr>
          <w:b/>
          <w:color w:val="000000"/>
          <w:sz w:val="22"/>
          <w:szCs w:val="22"/>
        </w:rPr>
      </w:pPr>
    </w:p>
    <w:p w:rsidR="00A73E46" w:rsidRDefault="007E196E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II</w:t>
      </w:r>
    </w:p>
    <w:p w:rsidR="00A73E46" w:rsidRDefault="007E196E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FICHA DE AVALIAÇÃO DO CURRÍCULO</w:t>
      </w: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7E196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9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Nome do Candidato:</w:t>
      </w:r>
    </w:p>
    <w:p w:rsidR="00A73E46" w:rsidRDefault="007E196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9900"/>
        </w:tabs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Orientador Interessado:</w:t>
      </w:r>
    </w:p>
    <w:p w:rsidR="00A73E46" w:rsidRDefault="007E196E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tabs>
          <w:tab w:val="left" w:pos="9900"/>
        </w:tabs>
        <w:jc w:val="both"/>
        <w:rPr>
          <w:color w:val="000000"/>
          <w:sz w:val="22"/>
          <w:szCs w:val="22"/>
          <w:highlight w:val="white"/>
        </w:rPr>
      </w:pPr>
      <w:r>
        <w:rPr>
          <w:color w:val="000000"/>
          <w:sz w:val="22"/>
          <w:szCs w:val="22"/>
          <w:highlight w:val="white"/>
        </w:rPr>
        <w:t>Nome(s) do(s) avaliador(es):</w:t>
      </w:r>
    </w:p>
    <w:p w:rsidR="00A73E46" w:rsidRDefault="00A73E46">
      <w:pPr>
        <w:spacing w:line="300" w:lineRule="auto"/>
        <w:ind w:left="1680" w:right="1300"/>
        <w:jc w:val="center"/>
        <w:rPr>
          <w:b/>
          <w:color w:val="000000"/>
          <w:sz w:val="24"/>
          <w:szCs w:val="24"/>
        </w:rPr>
      </w:pPr>
    </w:p>
    <w:p w:rsidR="00A73E46" w:rsidRDefault="007E196E" w:rsidP="00F31E73">
      <w:pPr>
        <w:spacing w:line="276" w:lineRule="auto"/>
        <w:ind w:right="160"/>
        <w:jc w:val="both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Obs</w:t>
      </w:r>
      <w:proofErr w:type="spellEnd"/>
      <w:r>
        <w:rPr>
          <w:b/>
          <w:color w:val="000000"/>
          <w:sz w:val="22"/>
          <w:szCs w:val="22"/>
        </w:rPr>
        <w:t xml:space="preserve"> 1: </w:t>
      </w:r>
      <w:r>
        <w:rPr>
          <w:color w:val="000000"/>
          <w:sz w:val="22"/>
          <w:szCs w:val="22"/>
        </w:rPr>
        <w:t xml:space="preserve">Os artigos deverão ser pontuados de acordo com a classificação atribuída à revista científica em que foi publicado (ou aceito para publicação) pelo Periódicos </w:t>
      </w:r>
      <w:proofErr w:type="spellStart"/>
      <w:r>
        <w:rPr>
          <w:color w:val="000000"/>
          <w:sz w:val="22"/>
          <w:szCs w:val="22"/>
        </w:rPr>
        <w:t>Qualis</w:t>
      </w:r>
      <w:proofErr w:type="spellEnd"/>
      <w:r>
        <w:rPr>
          <w:color w:val="000000"/>
          <w:sz w:val="22"/>
          <w:szCs w:val="22"/>
        </w:rPr>
        <w:t xml:space="preserve">, da CAPES. A consulta </w:t>
      </w:r>
      <w:r w:rsidR="00F31E73">
        <w:rPr>
          <w:color w:val="000000"/>
          <w:sz w:val="22"/>
          <w:szCs w:val="22"/>
        </w:rPr>
        <w:t xml:space="preserve">pode </w:t>
      </w:r>
      <w:proofErr w:type="gramStart"/>
      <w:r w:rsidR="00F31E73">
        <w:rPr>
          <w:color w:val="000000"/>
          <w:sz w:val="22"/>
          <w:szCs w:val="22"/>
        </w:rPr>
        <w:t>ser</w:t>
      </w:r>
      <w:r>
        <w:rPr>
          <w:color w:val="000000"/>
          <w:sz w:val="22"/>
          <w:szCs w:val="22"/>
        </w:rPr>
        <w:t xml:space="preserve">  realizada</w:t>
      </w:r>
      <w:proofErr w:type="gramEnd"/>
      <w:r>
        <w:rPr>
          <w:color w:val="000000"/>
          <w:sz w:val="22"/>
          <w:szCs w:val="22"/>
        </w:rPr>
        <w:tab/>
        <w:t>via</w:t>
      </w:r>
      <w:r>
        <w:rPr>
          <w:color w:val="000000"/>
          <w:sz w:val="22"/>
          <w:szCs w:val="22"/>
        </w:rPr>
        <w:tab/>
        <w:t>Plataforma Sucupira (https://sucupira.capes.gov.br/sucupira/public/consultas/coleta/veiculoPublicacaoQualis/listaConsultaGeralPeriodicos.jsf), e sempre deve respeitar a classificação mais atual (“CLASSIFICAÇÃO DE PERIÓDICOS QUADRIÊNIO 2013-2016”) e a área de alocação do PPG-</w:t>
      </w:r>
      <w:proofErr w:type="spellStart"/>
      <w:r>
        <w:rPr>
          <w:color w:val="000000"/>
          <w:sz w:val="22"/>
          <w:szCs w:val="22"/>
        </w:rPr>
        <w:t>TIGSaúde</w:t>
      </w:r>
      <w:proofErr w:type="spellEnd"/>
      <w:r>
        <w:rPr>
          <w:color w:val="000000"/>
          <w:sz w:val="22"/>
          <w:szCs w:val="22"/>
        </w:rPr>
        <w:t xml:space="preserve"> (Área 45 - “Interdisciplinar”).</w:t>
      </w:r>
    </w:p>
    <w:p w:rsidR="00A73E46" w:rsidRDefault="007E196E" w:rsidP="00F31E73">
      <w:pPr>
        <w:spacing w:line="276" w:lineRule="auto"/>
        <w:ind w:right="160"/>
        <w:jc w:val="both"/>
        <w:rPr>
          <w:color w:val="000000"/>
          <w:sz w:val="22"/>
          <w:szCs w:val="22"/>
        </w:rPr>
      </w:pPr>
      <w:proofErr w:type="spellStart"/>
      <w:r>
        <w:rPr>
          <w:b/>
          <w:color w:val="000000"/>
          <w:sz w:val="22"/>
          <w:szCs w:val="22"/>
        </w:rPr>
        <w:t>Obs</w:t>
      </w:r>
      <w:proofErr w:type="spellEnd"/>
      <w:r>
        <w:rPr>
          <w:b/>
          <w:color w:val="000000"/>
          <w:sz w:val="22"/>
          <w:szCs w:val="22"/>
        </w:rPr>
        <w:t xml:space="preserve"> 2:</w:t>
      </w:r>
      <w:r>
        <w:rPr>
          <w:color w:val="000000"/>
          <w:sz w:val="22"/>
          <w:szCs w:val="22"/>
        </w:rPr>
        <w:t xml:space="preserve"> Para os artigos publicados em revistas não classificadas no </w:t>
      </w:r>
      <w:proofErr w:type="spellStart"/>
      <w:r>
        <w:rPr>
          <w:color w:val="000000"/>
          <w:sz w:val="22"/>
          <w:szCs w:val="22"/>
        </w:rPr>
        <w:t>Qualis</w:t>
      </w:r>
      <w:proofErr w:type="spellEnd"/>
      <w:r>
        <w:rPr>
          <w:color w:val="000000"/>
          <w:sz w:val="22"/>
          <w:szCs w:val="22"/>
        </w:rPr>
        <w:t xml:space="preserve"> da área (interdisciplinar), deve-se considerar a qualificação mais elevada existente no sistema </w:t>
      </w:r>
      <w:proofErr w:type="spellStart"/>
      <w:r>
        <w:rPr>
          <w:color w:val="000000"/>
          <w:sz w:val="22"/>
          <w:szCs w:val="22"/>
        </w:rPr>
        <w:t>Qualis</w:t>
      </w:r>
      <w:proofErr w:type="spellEnd"/>
      <w:r>
        <w:rPr>
          <w:color w:val="000000"/>
          <w:sz w:val="22"/>
          <w:szCs w:val="22"/>
        </w:rPr>
        <w:t>, devendo ser classificados de acordo com a seguinte recomendação: A1; A2; B1; B2; B3; B4; B5; C e não qualificada.</w:t>
      </w:r>
    </w:p>
    <w:tbl>
      <w:tblPr>
        <w:tblStyle w:val="aff3"/>
        <w:tblW w:w="919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220"/>
        <w:gridCol w:w="2520"/>
        <w:gridCol w:w="1455"/>
      </w:tblGrid>
      <w:tr w:rsidR="00A73E46">
        <w:trPr>
          <w:trHeight w:val="935"/>
        </w:trPr>
        <w:tc>
          <w:tcPr>
            <w:tcW w:w="52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21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QUESITOS</w:t>
            </w:r>
          </w:p>
        </w:tc>
        <w:tc>
          <w:tcPr>
            <w:tcW w:w="25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3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IDENTIFICAÇÃO DO</w:t>
            </w:r>
          </w:p>
          <w:p w:rsidR="00A73E46" w:rsidRDefault="007E196E">
            <w:pPr>
              <w:spacing w:before="40"/>
              <w:ind w:right="3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ANEXO</w:t>
            </w:r>
          </w:p>
        </w:tc>
        <w:tc>
          <w:tcPr>
            <w:tcW w:w="14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spacing w:before="240" w:after="2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</w:p>
        </w:tc>
      </w:tr>
      <w:tr w:rsidR="00A73E46">
        <w:trPr>
          <w:trHeight w:val="525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1. Artigo científico publicado (ou com aceite por escrito) em revista </w:t>
            </w:r>
            <w:proofErr w:type="spellStart"/>
            <w:r>
              <w:rPr>
                <w:b/>
                <w:color w:val="000000"/>
                <w:u w:val="single"/>
              </w:rPr>
              <w:t>Qualis</w:t>
            </w:r>
            <w:proofErr w:type="spellEnd"/>
            <w:r>
              <w:rPr>
                <w:b/>
                <w:color w:val="000000"/>
                <w:u w:val="single"/>
              </w:rPr>
              <w:t xml:space="preserve"> A1-A2</w:t>
            </w:r>
            <w:r>
              <w:rPr>
                <w:b/>
                <w:color w:val="000000"/>
              </w:rPr>
              <w:t>, (30 pontos por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artigo)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 Artigo científico publicado (ou com aceite por</w:t>
            </w:r>
          </w:p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escrito) em revista </w:t>
            </w:r>
            <w:proofErr w:type="spellStart"/>
            <w:r>
              <w:rPr>
                <w:b/>
                <w:color w:val="000000"/>
              </w:rPr>
              <w:t>Qualis</w:t>
            </w:r>
            <w:proofErr w:type="spellEnd"/>
            <w:r>
              <w:rPr>
                <w:b/>
                <w:color w:val="000000"/>
              </w:rPr>
              <w:t xml:space="preserve"> B1-B2, (20 pontos por artigo)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A73E46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A73E46">
            <w:pPr>
              <w:spacing w:before="240" w:after="240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</w:tr>
      <w:tr w:rsidR="00A73E46">
        <w:trPr>
          <w:trHeight w:val="795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3. Artigo científico publicado (ou com aceite por escrito) em revista </w:t>
            </w:r>
            <w:proofErr w:type="spellStart"/>
            <w:r>
              <w:rPr>
                <w:b/>
                <w:color w:val="000000"/>
              </w:rPr>
              <w:t>Qualis</w:t>
            </w:r>
            <w:proofErr w:type="spellEnd"/>
            <w:r>
              <w:rPr>
                <w:b/>
                <w:color w:val="000000"/>
              </w:rPr>
              <w:t xml:space="preserve"> B3-B4, (10 pontos por</w:t>
            </w:r>
          </w:p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artigo)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73E46">
        <w:trPr>
          <w:trHeight w:val="750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4. Artigo científico publicado (ou com aceite por</w:t>
            </w:r>
          </w:p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escrito) em revista B5, C ou não qualificada (2 pontos por artigo) – MÁXIMO 10 pontos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73E46">
        <w:trPr>
          <w:trHeight w:val="470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 Autoria de livro com ISBN (15 pontos por livro)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73E46">
        <w:trPr>
          <w:trHeight w:val="360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6. Autoria de capítulo de livro com ISBN (5 pontos</w:t>
            </w:r>
          </w:p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por capítulo)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  <w:tr w:rsidR="00A73E46">
        <w:trPr>
          <w:trHeight w:val="705"/>
        </w:trPr>
        <w:tc>
          <w:tcPr>
            <w:tcW w:w="52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7. Participação como palestrante convidado em</w:t>
            </w:r>
          </w:p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evento acadêmico e/ou científico (10 pontos por participação) – MÁXIMO 20 pontos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</w:tc>
      </w:tr>
    </w:tbl>
    <w:p w:rsidR="00A73E46" w:rsidRDefault="00A73E46">
      <w:pPr>
        <w:rPr>
          <w:rFonts w:ascii="Times New Roman" w:eastAsia="Times New Roman" w:hAnsi="Times New Roman" w:cs="Times New Roman"/>
          <w:b/>
          <w:color w:val="000000"/>
        </w:rPr>
      </w:pPr>
    </w:p>
    <w:p w:rsidR="00A73E46" w:rsidRDefault="00A73E46">
      <w:pPr>
        <w:rPr>
          <w:rFonts w:ascii="Times New Roman" w:eastAsia="Times New Roman" w:hAnsi="Times New Roman" w:cs="Times New Roman"/>
          <w:b/>
          <w:color w:val="000000"/>
        </w:rPr>
      </w:pPr>
    </w:p>
    <w:p w:rsidR="00A73E46" w:rsidRDefault="00A73E46">
      <w:pPr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Style w:val="aff4"/>
        <w:tblW w:w="9212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22"/>
        <w:gridCol w:w="2474"/>
        <w:gridCol w:w="1616"/>
      </w:tblGrid>
      <w:tr w:rsidR="00A73E46" w:rsidTr="00F31E73">
        <w:trPr>
          <w:trHeight w:val="446"/>
        </w:trPr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214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QUESITOS</w:t>
            </w:r>
          </w:p>
        </w:tc>
        <w:tc>
          <w:tcPr>
            <w:tcW w:w="2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3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IDENTIFICAÇÃO DO</w:t>
            </w:r>
          </w:p>
          <w:p w:rsidR="00A73E46" w:rsidRDefault="007E196E">
            <w:pPr>
              <w:ind w:right="320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ANEXO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FBF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PONTUAÇÃO</w:t>
            </w:r>
          </w:p>
        </w:tc>
      </w:tr>
      <w:tr w:rsidR="00A73E46" w:rsidTr="00F31E73">
        <w:trPr>
          <w:trHeight w:val="780"/>
        </w:trPr>
        <w:tc>
          <w:tcPr>
            <w:tcW w:w="5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8. Apresentação oral ou tema livre em congresso</w:t>
            </w:r>
          </w:p>
          <w:p w:rsidR="00A73E46" w:rsidRDefault="007E196E">
            <w:pP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pelo candidato (5 pontos por apresentação) – MÁXIMO 20 pontos</w:t>
            </w:r>
          </w:p>
        </w:tc>
        <w:tc>
          <w:tcPr>
            <w:tcW w:w="247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105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9. Apresentação de pôster em </w:t>
            </w:r>
            <w:r w:rsidR="00F31E73">
              <w:rPr>
                <w:b/>
                <w:color w:val="000000"/>
              </w:rPr>
              <w:t>congresso e</w:t>
            </w:r>
            <w:r>
              <w:rPr>
                <w:b/>
                <w:color w:val="000000"/>
              </w:rPr>
              <w:t>/</w:t>
            </w:r>
            <w:r w:rsidR="00F31E73">
              <w:rPr>
                <w:b/>
                <w:color w:val="000000"/>
              </w:rPr>
              <w:t>ou resumo</w:t>
            </w:r>
            <w:r>
              <w:rPr>
                <w:b/>
                <w:color w:val="000000"/>
              </w:rPr>
              <w:t xml:space="preserve"> em anais (2 pontos por pôster se primeiro autor e 1 ponto por participação no pôster) –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20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92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Participação como ouvinte em eventos científicos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(1 ponto por participação) – MÁXIMO 20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1005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11. Estágio de iniciação científica (com ou sem bolsa) por, no mínimo, 1 semestre (5 pontos por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semestre) – MÁXIMO 20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1125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12. Bolsista PID, PET, REUNI, Apoio Técnico e/ou Desenvolvimento Tecnológico por, no mínimo, 1 semestre (5 pontos por semestre) – MÁXIMO 20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78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13. Monitoria em disciplina de graduação </w:t>
            </w:r>
            <w:proofErr w:type="spellStart"/>
            <w:r w:rsidR="00F31E73">
              <w:rPr>
                <w:b/>
                <w:color w:val="000000"/>
              </w:rPr>
              <w:t>por</w:t>
            </w:r>
            <w:proofErr w:type="spellEnd"/>
            <w:r w:rsidR="00F31E73">
              <w:rPr>
                <w:b/>
                <w:color w:val="000000"/>
              </w:rPr>
              <w:t xml:space="preserve"> no</w:t>
            </w:r>
          </w:p>
          <w:p w:rsidR="00A73E46" w:rsidRDefault="007E196E">
            <w:pP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mínimo, 1 semestre (5 pontos por semestre) – MÁXIMO 15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105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14. Estágio extracurricular no exterior na área acadêmica por, no mínimo, 1 semestre ou participante do Ciência sem Fronteiras (10 pontos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por semestre) – MÁXIMO 30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54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15. Organização de eventos (2 pontos por evento) –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10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1024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 Experiência como docente em curso de graduação por, no mínimo, 1 semestre (10 pontos por disciplina ministrada) – MÁXIMO 40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A73E46" w:rsidTr="00F31E73">
        <w:trPr>
          <w:trHeight w:val="825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17. Experiência como docente em curso de </w:t>
            </w:r>
            <w:r w:rsidR="00F31E73">
              <w:rPr>
                <w:b/>
                <w:color w:val="000000"/>
              </w:rPr>
              <w:t>pós-graduação</w:t>
            </w:r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lato sensu </w:t>
            </w:r>
            <w:r>
              <w:rPr>
                <w:b/>
                <w:color w:val="000000"/>
              </w:rPr>
              <w:t>(10 pontos por disciplina) –</w:t>
            </w:r>
          </w:p>
          <w:p w:rsidR="00A73E46" w:rsidRDefault="007E196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40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3E46" w:rsidRDefault="007E196E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F31E73" w:rsidTr="00077472">
        <w:trPr>
          <w:trHeight w:val="825"/>
        </w:trPr>
        <w:tc>
          <w:tcPr>
            <w:tcW w:w="512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Pr="00F31E73" w:rsidRDefault="00F31E73" w:rsidP="00F31E73">
            <w:pPr>
              <w:ind w:right="214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1E73">
              <w:rPr>
                <w:b/>
                <w:color w:val="000000" w:themeColor="text1"/>
                <w:sz w:val="18"/>
                <w:szCs w:val="18"/>
              </w:rPr>
              <w:lastRenderedPageBreak/>
              <w:t>QUESITOS</w:t>
            </w:r>
          </w:p>
        </w:tc>
        <w:tc>
          <w:tcPr>
            <w:tcW w:w="247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Pr="00F31E73" w:rsidRDefault="00F31E73" w:rsidP="00F31E73">
            <w:pPr>
              <w:ind w:right="3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1E73">
              <w:rPr>
                <w:b/>
                <w:color w:val="000000" w:themeColor="text1"/>
                <w:sz w:val="18"/>
                <w:szCs w:val="18"/>
              </w:rPr>
              <w:t>IDENTIFICAÇÃO DO</w:t>
            </w:r>
          </w:p>
          <w:p w:rsidR="00F31E73" w:rsidRPr="00F31E73" w:rsidRDefault="00F31E73" w:rsidP="00F31E73">
            <w:pPr>
              <w:ind w:right="32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1E73">
              <w:rPr>
                <w:b/>
                <w:color w:val="000000" w:themeColor="text1"/>
                <w:sz w:val="18"/>
                <w:szCs w:val="18"/>
              </w:rPr>
              <w:t>ANEXO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6A6A6" w:themeFill="background1" w:themeFillShade="A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Pr="00F31E73" w:rsidRDefault="00F31E73" w:rsidP="00F31E73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F31E73">
              <w:rPr>
                <w:b/>
                <w:color w:val="000000" w:themeColor="text1"/>
                <w:sz w:val="18"/>
                <w:szCs w:val="18"/>
              </w:rPr>
              <w:t>PONTUAÇÃO</w:t>
            </w:r>
          </w:p>
        </w:tc>
      </w:tr>
      <w:tr w:rsidR="00F31E73" w:rsidTr="00F31E73">
        <w:trPr>
          <w:trHeight w:val="995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ind w:right="14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18. Experiência como docente em curso de </w:t>
            </w:r>
            <w:proofErr w:type="gramStart"/>
            <w:r>
              <w:rPr>
                <w:b/>
                <w:color w:val="000000"/>
              </w:rPr>
              <w:t>pós- graduação</w:t>
            </w:r>
            <w:proofErr w:type="gramEnd"/>
            <w:r>
              <w:rPr>
                <w:b/>
                <w:color w:val="000000"/>
              </w:rPr>
              <w:t xml:space="preserve"> </w:t>
            </w:r>
            <w:r>
              <w:rPr>
                <w:b/>
                <w:i/>
                <w:color w:val="000000"/>
              </w:rPr>
              <w:t xml:space="preserve">stricto sensu </w:t>
            </w:r>
            <w:r>
              <w:rPr>
                <w:b/>
                <w:color w:val="000000"/>
              </w:rPr>
              <w:t>(15 pontos por disciplina) – MÁXIMO 45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F31E73" w:rsidTr="00F31E73">
        <w:trPr>
          <w:trHeight w:val="137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ind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19. Cursos de formação complementar na área de tecnologias da informação ou Gestão em Saúde (2 pontos para cada 20 horas comprovadas) –</w:t>
            </w:r>
          </w:p>
          <w:p w:rsidR="00F31E73" w:rsidRDefault="00F31E73" w:rsidP="00F31E7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MÁXIMO 20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F31E73" w:rsidTr="00F31E73">
        <w:trPr>
          <w:trHeight w:val="920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ind w:right="1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20. Título </w:t>
            </w:r>
            <w:r>
              <w:rPr>
                <w:b/>
                <w:color w:val="000000"/>
              </w:rPr>
              <w:tab/>
              <w:t xml:space="preserve">de </w:t>
            </w:r>
            <w:r>
              <w:rPr>
                <w:b/>
                <w:color w:val="000000"/>
              </w:rPr>
              <w:tab/>
              <w:t xml:space="preserve">Especialista </w:t>
            </w:r>
            <w:r>
              <w:rPr>
                <w:b/>
                <w:color w:val="000000"/>
              </w:rPr>
              <w:tab/>
              <w:t>e/ou Residência Multiprofissional (15 pontos) – MÁXIMO 30 pontos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Default="00F31E73" w:rsidP="00F31E73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</w:p>
        </w:tc>
      </w:tr>
      <w:tr w:rsidR="00F31E73" w:rsidRPr="00F31E73" w:rsidTr="00F31E73">
        <w:trPr>
          <w:trHeight w:val="283"/>
        </w:trPr>
        <w:tc>
          <w:tcPr>
            <w:tcW w:w="51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Pr="00F31E73" w:rsidRDefault="00F31E73" w:rsidP="00F31E73">
            <w:pPr>
              <w:rPr>
                <w:rFonts w:eastAsia="Calibri"/>
                <w:b/>
                <w:color w:val="000000"/>
              </w:rPr>
            </w:pPr>
            <w:r w:rsidRPr="00F31E73">
              <w:rPr>
                <w:rFonts w:eastAsia="Calibri"/>
                <w:b/>
                <w:color w:val="000000"/>
              </w:rPr>
              <w:t>Somatório dos Quesitos Pontuados e documentados:</w:t>
            </w:r>
          </w:p>
        </w:tc>
        <w:tc>
          <w:tcPr>
            <w:tcW w:w="24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Pr="00F31E73" w:rsidRDefault="00F31E73" w:rsidP="00F31E73">
            <w:pPr>
              <w:jc w:val="center"/>
              <w:rPr>
                <w:rFonts w:eastAsia="Times New Roman"/>
                <w:b/>
                <w:color w:val="000000"/>
              </w:rPr>
            </w:pPr>
            <w:r w:rsidRPr="00F31E73">
              <w:rPr>
                <w:rFonts w:eastAsia="Times New Roman"/>
                <w:b/>
                <w:color w:val="000000"/>
              </w:rPr>
              <w:t xml:space="preserve"> --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1E73" w:rsidRPr="00F31E73" w:rsidRDefault="00F31E73" w:rsidP="00F31E73">
            <w:pPr>
              <w:rPr>
                <w:rFonts w:eastAsia="Times New Roman"/>
                <w:b/>
                <w:color w:val="000000"/>
              </w:rPr>
            </w:pPr>
            <w:r w:rsidRPr="00F31E73">
              <w:rPr>
                <w:rFonts w:eastAsia="Times New Roman"/>
                <w:b/>
                <w:color w:val="000000"/>
              </w:rPr>
              <w:t xml:space="preserve"> </w:t>
            </w:r>
          </w:p>
        </w:tc>
      </w:tr>
    </w:tbl>
    <w:p w:rsidR="00A73E46" w:rsidRPr="00F31E73" w:rsidRDefault="00A73E46">
      <w:pPr>
        <w:jc w:val="center"/>
        <w:rPr>
          <w:rFonts w:eastAsia="Times New Roman"/>
          <w:b/>
          <w:color w:val="000000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>
      <w:pPr>
        <w:jc w:val="center"/>
        <w:rPr>
          <w:b/>
          <w:color w:val="000000"/>
          <w:sz w:val="24"/>
          <w:szCs w:val="24"/>
        </w:rPr>
      </w:pPr>
    </w:p>
    <w:p w:rsidR="00A73E46" w:rsidRDefault="00A73E46"/>
    <w:sectPr w:rsidR="00A73E46">
      <w:headerReference w:type="default" r:id="rId8"/>
      <w:footerReference w:type="default" r:id="rId9"/>
      <w:pgSz w:w="11907" w:h="16840"/>
      <w:pgMar w:top="1134" w:right="1134" w:bottom="851" w:left="1559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297F" w:rsidRDefault="0082297F">
      <w:r>
        <w:separator/>
      </w:r>
    </w:p>
  </w:endnote>
  <w:endnote w:type="continuationSeparator" w:id="0">
    <w:p w:rsidR="0082297F" w:rsidRDefault="00822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46" w:rsidRDefault="007E1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228600</wp:posOffset>
          </wp:positionH>
          <wp:positionV relativeFrom="paragraph">
            <wp:posOffset>126365</wp:posOffset>
          </wp:positionV>
          <wp:extent cx="5613400" cy="127000"/>
          <wp:effectExtent l="0" t="0" r="0" b="0"/>
          <wp:wrapSquare wrapText="bothSides" distT="0" distB="0" distL="114300" distR="114300"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13400" cy="12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297F" w:rsidRDefault="0082297F">
      <w:r>
        <w:separator/>
      </w:r>
    </w:p>
  </w:footnote>
  <w:footnote w:type="continuationSeparator" w:id="0">
    <w:p w:rsidR="0082297F" w:rsidRDefault="00822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3E46" w:rsidRDefault="007E196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  <w:r>
      <w:rPr>
        <w:noProof/>
      </w:rPr>
      <w:drawing>
        <wp:inline distT="0" distB="0" distL="114300" distR="114300">
          <wp:extent cx="3106420" cy="1158240"/>
          <wp:effectExtent l="0" t="0" r="0" b="0"/>
          <wp:docPr id="1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06420" cy="1158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A73E46" w:rsidRDefault="00A73E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3D7C69"/>
    <w:multiLevelType w:val="multilevel"/>
    <w:tmpl w:val="1408D528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1" w15:restartNumberingAfterBreak="0">
    <w:nsid w:val="32FC2609"/>
    <w:multiLevelType w:val="multilevel"/>
    <w:tmpl w:val="DFDCA10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53B505EB"/>
    <w:multiLevelType w:val="multilevel"/>
    <w:tmpl w:val="6E5EAD6A"/>
    <w:lvl w:ilvl="0">
      <w:start w:val="1"/>
      <w:numFmt w:val="decimal"/>
      <w:lvlText w:val="%1."/>
      <w:lvlJc w:val="left"/>
      <w:pPr>
        <w:ind w:left="10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E46"/>
    <w:rsid w:val="00077472"/>
    <w:rsid w:val="003734A6"/>
    <w:rsid w:val="007E196E"/>
    <w:rsid w:val="0082297F"/>
    <w:rsid w:val="00A73E46"/>
    <w:rsid w:val="00B226BA"/>
    <w:rsid w:val="00F3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348A82-D780-40C2-946D-725EC03D6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FF0000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comentrio">
    <w:name w:val="annotation text"/>
    <w:basedOn w:val="Normal"/>
    <w:link w:val="TextodecomentrioChar1"/>
    <w:uiPriority w:val="99"/>
    <w:semiHidden/>
    <w:unhideWhenUsed/>
  </w:style>
  <w:style w:type="character" w:customStyle="1" w:styleId="TextodecomentrioChar">
    <w:name w:val="Texto de comentário Char"/>
    <w:basedOn w:val="Fontepargpadro"/>
    <w:uiPriority w:val="99"/>
    <w:semiHidden/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669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6696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658B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58B3"/>
    <w:rPr>
      <w:color w:val="605E5C"/>
      <w:shd w:val="clear" w:color="auto" w:fill="E1DFDD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uiPriority w:val="99"/>
    <w:semiHidden/>
    <w:rsid w:val="00031DCD"/>
    <w:rPr>
      <w:b/>
      <w:bCs/>
    </w:rPr>
  </w:style>
  <w:style w:type="paragraph" w:styleId="PargrafodaLista">
    <w:name w:val="List Paragraph"/>
    <w:basedOn w:val="Normal"/>
    <w:uiPriority w:val="34"/>
    <w:qFormat/>
    <w:rsid w:val="00C2516A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6068B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F2F22"/>
    <w:pPr>
      <w:widowControl w:val="0"/>
      <w:autoSpaceDE w:val="0"/>
      <w:autoSpaceDN w:val="0"/>
    </w:pPr>
    <w:rPr>
      <w:color w:val="auto"/>
      <w:sz w:val="22"/>
      <w:szCs w:val="22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9C2B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C2BF7"/>
  </w:style>
  <w:style w:type="paragraph" w:styleId="Rodap">
    <w:name w:val="footer"/>
    <w:basedOn w:val="Normal"/>
    <w:link w:val="RodapChar"/>
    <w:uiPriority w:val="99"/>
    <w:unhideWhenUsed/>
    <w:rsid w:val="009C2B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C2BF7"/>
  </w:style>
  <w:style w:type="table" w:customStyle="1" w:styleId="a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</w:tblPr>
  </w:style>
  <w:style w:type="table" w:customStyle="1" w:styleId="af1">
    <w:basedOn w:val="TableNormal3"/>
    <w:tblPr>
      <w:tblStyleRowBandSize w:val="1"/>
      <w:tblStyleColBandSize w:val="1"/>
    </w:tbl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table" w:customStyle="1" w:styleId="af2">
    <w:basedOn w:val="TableNormal3"/>
    <w:tblPr>
      <w:tblStyleRowBandSize w:val="1"/>
      <w:tblStyleColBandSize w:val="1"/>
    </w:tblPr>
  </w:style>
  <w:style w:type="table" w:customStyle="1" w:styleId="af3">
    <w:basedOn w:val="TableNormal3"/>
    <w:tblPr>
      <w:tblStyleRowBandSize w:val="1"/>
      <w:tblStyleColBandSize w:val="1"/>
    </w:tblPr>
  </w:style>
  <w:style w:type="table" w:customStyle="1" w:styleId="af4">
    <w:basedOn w:val="TableNormal3"/>
    <w:tblPr>
      <w:tblStyleRowBandSize w:val="1"/>
      <w:tblStyleColBandSize w:val="1"/>
    </w:tblPr>
  </w:style>
  <w:style w:type="table" w:customStyle="1" w:styleId="af5">
    <w:basedOn w:val="TableNormal3"/>
    <w:tblPr>
      <w:tblStyleRowBandSize w:val="1"/>
      <w:tblStyleColBandSize w:val="1"/>
    </w:tblPr>
  </w:style>
  <w:style w:type="table" w:customStyle="1" w:styleId="af6">
    <w:basedOn w:val="TableNormal3"/>
    <w:tblPr>
      <w:tblStyleRowBandSize w:val="1"/>
      <w:tblStyleColBandSize w:val="1"/>
    </w:tblPr>
  </w:style>
  <w:style w:type="table" w:customStyle="1" w:styleId="af7">
    <w:basedOn w:val="TableNormal3"/>
    <w:tblPr>
      <w:tblStyleRowBandSize w:val="1"/>
      <w:tblStyleColBandSize w:val="1"/>
    </w:tblPr>
  </w:style>
  <w:style w:type="table" w:customStyle="1" w:styleId="af8">
    <w:basedOn w:val="TableNormal3"/>
    <w:tblPr>
      <w:tblStyleRowBandSize w:val="1"/>
      <w:tblStyleColBandSize w:val="1"/>
    </w:tblPr>
  </w:style>
  <w:style w:type="table" w:customStyle="1" w:styleId="af9">
    <w:basedOn w:val="TableNormal3"/>
    <w:tblPr>
      <w:tblStyleRowBandSize w:val="1"/>
      <w:tblStyleColBandSize w:val="1"/>
    </w:tblPr>
  </w:style>
  <w:style w:type="table" w:customStyle="1" w:styleId="afa">
    <w:basedOn w:val="TableNormal3"/>
    <w:tblPr>
      <w:tblStyleRowBandSize w:val="1"/>
      <w:tblStyleColBandSize w:val="1"/>
    </w:tblPr>
  </w:style>
  <w:style w:type="table" w:customStyle="1" w:styleId="afb">
    <w:basedOn w:val="TableNormal3"/>
    <w:tblPr>
      <w:tblStyleRowBandSize w:val="1"/>
      <w:tblStyleColBandSize w:val="1"/>
    </w:tblPr>
  </w:style>
  <w:style w:type="table" w:customStyle="1" w:styleId="af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3"/>
    <w:tblPr>
      <w:tblStyleRowBandSize w:val="1"/>
      <w:tblStyleColBandSize w:val="1"/>
    </w:tblPr>
  </w:style>
  <w:style w:type="table" w:customStyle="1" w:styleId="aff">
    <w:basedOn w:val="TableNormal3"/>
    <w:tblPr>
      <w:tblStyleRowBandSize w:val="1"/>
      <w:tblStyleColBandSize w:val="1"/>
    </w:tblPr>
  </w:style>
  <w:style w:type="table" w:customStyle="1" w:styleId="aff0">
    <w:basedOn w:val="TableNormal3"/>
    <w:tblPr>
      <w:tblStyleRowBandSize w:val="1"/>
      <w:tblStyleColBandSize w:val="1"/>
    </w:tblPr>
  </w:style>
  <w:style w:type="table" w:customStyle="1" w:styleId="aff1">
    <w:basedOn w:val="TableNormal3"/>
    <w:tblPr>
      <w:tblStyleRowBandSize w:val="1"/>
      <w:tblStyleColBandSize w:val="1"/>
    </w:tblPr>
  </w:style>
  <w:style w:type="table" w:customStyle="1" w:styleId="aff2">
    <w:basedOn w:val="TableNormal3"/>
    <w:tblPr>
      <w:tblStyleRowBandSize w:val="1"/>
      <w:tblStyleColBandSize w:val="1"/>
    </w:tblPr>
  </w:style>
  <w:style w:type="table" w:customStyle="1" w:styleId="aff3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3"/>
    <w:tblPr>
      <w:tblStyleRowBandSize w:val="1"/>
      <w:tblStyleColBandSize w:val="1"/>
    </w:tblPr>
  </w:style>
  <w:style w:type="table" w:customStyle="1" w:styleId="aff6">
    <w:basedOn w:val="TableNormal3"/>
    <w:tblPr>
      <w:tblStyleRowBandSize w:val="1"/>
      <w:tblStyleColBandSize w:val="1"/>
    </w:tblPr>
  </w:style>
  <w:style w:type="table" w:customStyle="1" w:styleId="aff7">
    <w:basedOn w:val="TableNormal3"/>
    <w:tblPr>
      <w:tblStyleRowBandSize w:val="1"/>
      <w:tblStyleColBandSize w:val="1"/>
    </w:tblPr>
  </w:style>
  <w:style w:type="table" w:customStyle="1" w:styleId="aff8">
    <w:basedOn w:val="TableNormal3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3XYEN33hEduUUpfo8IUg9sAY3A==">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UFCSPA Univ. Federal Ciências Saúde P. Alegre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Regina Machado</dc:creator>
  <cp:lastModifiedBy>Andréia Regina Machado</cp:lastModifiedBy>
  <cp:revision>3</cp:revision>
  <dcterms:created xsi:type="dcterms:W3CDTF">2020-12-14T18:36:00Z</dcterms:created>
  <dcterms:modified xsi:type="dcterms:W3CDTF">2020-12-14T18:45:00Z</dcterms:modified>
</cp:coreProperties>
</file>