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55EA2" w14:textId="77777777" w:rsidR="00B048DE" w:rsidRDefault="00B048DE">
      <w:pPr>
        <w:ind w:firstLine="284"/>
        <w:jc w:val="center"/>
        <w:rPr>
          <w:b/>
          <w:color w:val="000000"/>
        </w:rPr>
      </w:pPr>
    </w:p>
    <w:p w14:paraId="319C365C" w14:textId="77777777" w:rsidR="00B048DE" w:rsidRDefault="00B048DE">
      <w:pPr>
        <w:ind w:firstLine="284"/>
        <w:jc w:val="center"/>
        <w:rPr>
          <w:b/>
          <w:color w:val="000000"/>
        </w:rPr>
      </w:pPr>
    </w:p>
    <w:p w14:paraId="6578FE4D" w14:textId="77777777" w:rsidR="00A82891" w:rsidRDefault="00A82891">
      <w:pPr>
        <w:ind w:firstLine="284"/>
        <w:jc w:val="center"/>
        <w:rPr>
          <w:color w:val="000000"/>
        </w:rPr>
      </w:pPr>
    </w:p>
    <w:p w14:paraId="1D641FAC" w14:textId="24BB2246" w:rsidR="00E455E8" w:rsidRPr="00E455E8" w:rsidRDefault="00E455E8" w:rsidP="00E455E8">
      <w:pPr>
        <w:pStyle w:val="Default"/>
        <w:jc w:val="center"/>
        <w:rPr>
          <w:b/>
          <w:bCs/>
          <w:sz w:val="21"/>
          <w:szCs w:val="21"/>
        </w:rPr>
      </w:pPr>
      <w:r w:rsidRPr="00E455E8">
        <w:rPr>
          <w:b/>
          <w:bCs/>
          <w:sz w:val="21"/>
          <w:szCs w:val="21"/>
        </w:rPr>
        <w:t>PPG PEDIATRIA: ATENÇÃO À SAÚDE DA CRIANÇA E DO ADOLESCENTE</w:t>
      </w:r>
    </w:p>
    <w:p w14:paraId="3A1EA535" w14:textId="3071EF0A" w:rsidR="00E455E8" w:rsidRDefault="00E455E8" w:rsidP="00E455E8">
      <w:pPr>
        <w:pStyle w:val="Default"/>
        <w:jc w:val="center"/>
        <w:rPr>
          <w:sz w:val="21"/>
          <w:szCs w:val="21"/>
        </w:rPr>
      </w:pPr>
    </w:p>
    <w:p w14:paraId="1DEC2D73" w14:textId="77777777" w:rsidR="00E455E8" w:rsidRPr="00E455E8" w:rsidRDefault="00E455E8" w:rsidP="00E455E8">
      <w:pPr>
        <w:pStyle w:val="Default"/>
        <w:jc w:val="center"/>
        <w:rPr>
          <w:sz w:val="21"/>
          <w:szCs w:val="21"/>
        </w:rPr>
      </w:pPr>
    </w:p>
    <w:p w14:paraId="3825294E" w14:textId="77777777" w:rsidR="00E455E8" w:rsidRPr="00E455E8" w:rsidRDefault="00E455E8" w:rsidP="00E455E8">
      <w:pPr>
        <w:pStyle w:val="Default"/>
        <w:jc w:val="center"/>
        <w:rPr>
          <w:sz w:val="21"/>
          <w:szCs w:val="21"/>
        </w:rPr>
      </w:pPr>
      <w:r w:rsidRPr="00E455E8">
        <w:rPr>
          <w:b/>
          <w:bCs/>
          <w:sz w:val="21"/>
          <w:szCs w:val="21"/>
        </w:rPr>
        <w:t>ANEXO II</w:t>
      </w:r>
    </w:p>
    <w:p w14:paraId="251FC461" w14:textId="221962CF" w:rsidR="00E455E8" w:rsidRPr="00E455E8" w:rsidRDefault="00E455E8" w:rsidP="00E455E8">
      <w:pPr>
        <w:pStyle w:val="Default"/>
        <w:jc w:val="center"/>
        <w:rPr>
          <w:sz w:val="21"/>
          <w:szCs w:val="21"/>
        </w:rPr>
      </w:pPr>
      <w:r w:rsidRPr="00E455E8">
        <w:rPr>
          <w:b/>
          <w:bCs/>
          <w:sz w:val="21"/>
          <w:szCs w:val="21"/>
        </w:rPr>
        <w:t>PLANILHA DE PRODUTIVIDADE CIENTÍFICA</w:t>
      </w:r>
    </w:p>
    <w:p w14:paraId="77812CA4" w14:textId="42F07212" w:rsidR="00E455E8" w:rsidRDefault="00E455E8" w:rsidP="00E455E8">
      <w:pPr>
        <w:pStyle w:val="Default"/>
        <w:rPr>
          <w:rFonts w:ascii="Calibri" w:hAnsi="Calibri" w:cs="Calibri"/>
          <w:sz w:val="21"/>
          <w:szCs w:val="21"/>
        </w:rPr>
      </w:pPr>
    </w:p>
    <w:p w14:paraId="1D54F256" w14:textId="77777777" w:rsidR="00E455E8" w:rsidRDefault="00E455E8" w:rsidP="00E455E8">
      <w:pPr>
        <w:pStyle w:val="Default"/>
        <w:rPr>
          <w:rFonts w:ascii="Calibri" w:hAnsi="Calibri" w:cs="Calibri"/>
          <w:sz w:val="21"/>
          <w:szCs w:val="21"/>
        </w:rPr>
      </w:pPr>
    </w:p>
    <w:p w14:paraId="4EBD8E3C" w14:textId="319A8883" w:rsidR="00E455E8" w:rsidRDefault="00E455E8" w:rsidP="00E455E8">
      <w:pPr>
        <w:pStyle w:val="Default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Obs</w:t>
      </w:r>
      <w:proofErr w:type="spellEnd"/>
      <w:r>
        <w:rPr>
          <w:rFonts w:ascii="Calibri" w:hAnsi="Calibri" w:cs="Calibri"/>
          <w:sz w:val="21"/>
          <w:szCs w:val="21"/>
        </w:rPr>
        <w:t xml:space="preserve"> 1: Devem ser contabilizadas apenas as produções (ar</w:t>
      </w:r>
      <w:r>
        <w:rPr>
          <w:sz w:val="21"/>
          <w:szCs w:val="21"/>
        </w:rPr>
        <w:t>ti</w:t>
      </w:r>
      <w:r>
        <w:rPr>
          <w:rFonts w:ascii="Calibri" w:hAnsi="Calibri" w:cs="Calibri"/>
          <w:sz w:val="21"/>
          <w:szCs w:val="21"/>
        </w:rPr>
        <w:t xml:space="preserve">gos) publicadas entre </w:t>
      </w:r>
      <w:r>
        <w:rPr>
          <w:rFonts w:ascii="Calibri" w:hAnsi="Calibri" w:cs="Calibri"/>
          <w:b/>
          <w:bCs/>
          <w:sz w:val="21"/>
          <w:szCs w:val="21"/>
        </w:rPr>
        <w:t xml:space="preserve">2019 </w:t>
      </w:r>
      <w:r>
        <w:rPr>
          <w:rFonts w:ascii="Calibri" w:hAnsi="Calibri" w:cs="Calibri"/>
          <w:sz w:val="21"/>
          <w:szCs w:val="21"/>
        </w:rPr>
        <w:t xml:space="preserve">e </w:t>
      </w:r>
      <w:r>
        <w:rPr>
          <w:rFonts w:ascii="Calibri" w:hAnsi="Calibri" w:cs="Calibri"/>
          <w:b/>
          <w:bCs/>
          <w:sz w:val="21"/>
          <w:szCs w:val="21"/>
        </w:rPr>
        <w:t>novembro de</w:t>
      </w:r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sz w:val="21"/>
          <w:szCs w:val="21"/>
        </w:rPr>
        <w:t>2023 (até a data limite do prazo de inscrição deste edital)</w:t>
      </w:r>
      <w:r>
        <w:rPr>
          <w:rFonts w:ascii="Calibri" w:hAnsi="Calibri" w:cs="Calibri"/>
          <w:sz w:val="21"/>
          <w:szCs w:val="21"/>
        </w:rPr>
        <w:t>.</w:t>
      </w:r>
    </w:p>
    <w:tbl>
      <w:tblPr>
        <w:tblW w:w="1615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3543"/>
        <w:gridCol w:w="3287"/>
      </w:tblGrid>
      <w:tr w:rsidR="00E455E8" w14:paraId="6F426C7B" w14:textId="77777777" w:rsidTr="00E455E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9322" w:type="dxa"/>
          </w:tcPr>
          <w:p w14:paraId="49E5B940" w14:textId="77777777" w:rsidR="00E455E8" w:rsidRDefault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14:paraId="70042E97" w14:textId="7A697292" w:rsidR="00E455E8" w:rsidRDefault="00E455E8">
            <w:pPr>
              <w:pStyle w:val="Default"/>
              <w:rPr>
                <w:rFonts w:ascii="Calibri" w:hAnsi="Calibri" w:cs="Calibri"/>
                <w:color w:val="0000ED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2: Os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gos deverão ser pontuados de acordo com o </w:t>
            </w:r>
            <w:proofErr w:type="spellStart"/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Periódicos </w:t>
            </w:r>
            <w:r>
              <w:rPr>
                <w:rFonts w:ascii="Calibri" w:hAnsi="Calibri" w:cs="Calibri"/>
                <w:sz w:val="21"/>
                <w:szCs w:val="21"/>
              </w:rPr>
              <w:t>(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Classificação de Periódicos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Quadriênio 2017-2020</w:t>
            </w:r>
            <w:r>
              <w:rPr>
                <w:rFonts w:ascii="Calibri" w:hAnsi="Calibri" w:cs="Calibri"/>
                <w:sz w:val="21"/>
                <w:szCs w:val="21"/>
              </w:rPr>
              <w:t>)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disponível </w:t>
            </w:r>
            <w:r>
              <w:rPr>
                <w:rFonts w:ascii="Calibri" w:hAnsi="Calibri" w:cs="Calibri"/>
                <w:sz w:val="21"/>
                <w:szCs w:val="21"/>
              </w:rPr>
              <w:t>e</w:t>
            </w:r>
            <w:r>
              <w:rPr>
                <w:rFonts w:ascii="Calibri" w:hAnsi="Calibri" w:cs="Calibri"/>
                <w:sz w:val="21"/>
                <w:szCs w:val="21"/>
              </w:rPr>
              <w:t>m: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ED"/>
                <w:sz w:val="21"/>
                <w:szCs w:val="21"/>
              </w:rPr>
              <w:t xml:space="preserve">https://sucupira.capes.gov.br/sucupira/public/consultas/coleta/veiculoPublicacaoQualis/listaConsultaGeralPeriodicos.xhtml </w:t>
            </w:r>
          </w:p>
          <w:p w14:paraId="199549AF" w14:textId="77777777" w:rsidR="00E455E8" w:rsidRDefault="00E455E8">
            <w:pPr>
              <w:pStyle w:val="Defaul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59067B32" w14:textId="0AFAEB67" w:rsidR="00E455E8" w:rsidRDefault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68B1207A" w14:textId="26D3B404" w:rsidR="00E455E8" w:rsidRDefault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287" w:type="dxa"/>
          </w:tcPr>
          <w:p w14:paraId="6E37D710" w14:textId="482BA5C6" w:rsidR="00E455E8" w:rsidRDefault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2A3BC8C1" w14:textId="5EE17FE4" w:rsidR="00B048DE" w:rsidRDefault="00B048DE" w:rsidP="00E455E8">
      <w:pPr>
        <w:ind w:firstLine="284"/>
        <w:jc w:val="center"/>
        <w:rPr>
          <w:b/>
          <w:color w:val="000000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4531"/>
        <w:gridCol w:w="2175"/>
        <w:gridCol w:w="1505"/>
      </w:tblGrid>
      <w:tr w:rsidR="00E455E8" w14:paraId="003D4DF4" w14:textId="77777777" w:rsidTr="00E455E8">
        <w:tc>
          <w:tcPr>
            <w:tcW w:w="4531" w:type="dxa"/>
          </w:tcPr>
          <w:p w14:paraId="6FE2AA8E" w14:textId="79D792F6" w:rsidR="00E455E8" w:rsidRPr="00E455E8" w:rsidRDefault="00E455E8" w:rsidP="00E455E8">
            <w:pPr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455E8">
              <w:rPr>
                <w:b/>
                <w:color w:val="000000"/>
                <w:sz w:val="20"/>
                <w:szCs w:val="20"/>
              </w:rPr>
              <w:t>QUESITOS</w:t>
            </w:r>
          </w:p>
        </w:tc>
        <w:tc>
          <w:tcPr>
            <w:tcW w:w="2175" w:type="dxa"/>
          </w:tcPr>
          <w:p w14:paraId="65B6031E" w14:textId="0B039AA7" w:rsidR="00E455E8" w:rsidRPr="00E455E8" w:rsidRDefault="00E455E8" w:rsidP="00E455E8">
            <w:pPr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455E8">
              <w:rPr>
                <w:b/>
                <w:color w:val="000000"/>
                <w:sz w:val="20"/>
                <w:szCs w:val="20"/>
              </w:rPr>
              <w:t>IDENTIFICAÇÃO DOS ANEXOS</w:t>
            </w:r>
          </w:p>
        </w:tc>
        <w:tc>
          <w:tcPr>
            <w:tcW w:w="1505" w:type="dxa"/>
          </w:tcPr>
          <w:p w14:paraId="12A287B8" w14:textId="15C5A508" w:rsidR="00E455E8" w:rsidRPr="00E455E8" w:rsidRDefault="00E455E8" w:rsidP="00E455E8">
            <w:pPr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E455E8"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E455E8" w14:paraId="593DBC35" w14:textId="77777777" w:rsidTr="00E455E8">
        <w:tc>
          <w:tcPr>
            <w:tcW w:w="4531" w:type="dxa"/>
          </w:tcPr>
          <w:p w14:paraId="4AE42E48" w14:textId="02FD011C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1. Bolsa de produ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vidade em pesquisa do CNPq vigente (200 pontos) </w:t>
            </w:r>
          </w:p>
        </w:tc>
        <w:tc>
          <w:tcPr>
            <w:tcW w:w="2175" w:type="dxa"/>
          </w:tcPr>
          <w:p w14:paraId="2ED0532E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  <w:tc>
          <w:tcPr>
            <w:tcW w:w="1505" w:type="dxa"/>
          </w:tcPr>
          <w:p w14:paraId="0913D778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</w:tr>
      <w:tr w:rsidR="00E455E8" w14:paraId="0917E235" w14:textId="77777777" w:rsidTr="00E455E8">
        <w:tc>
          <w:tcPr>
            <w:tcW w:w="4531" w:type="dxa"/>
          </w:tcPr>
          <w:p w14:paraId="50B2DE31" w14:textId="77777777" w:rsidR="00E455E8" w:rsidRDefault="00E455E8" w:rsidP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 cien</w:t>
            </w:r>
            <w:r>
              <w:rPr>
                <w:sz w:val="21"/>
                <w:szCs w:val="21"/>
              </w:rPr>
              <w:t>tífi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co publicado (ou aceito para publicação). </w:t>
            </w:r>
          </w:p>
          <w:p w14:paraId="7902F156" w14:textId="77777777" w:rsidR="00E455E8" w:rsidRDefault="00E455E8" w:rsidP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A1 (100 pontos por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go)</w:t>
            </w:r>
          </w:p>
          <w:p w14:paraId="00F173E5" w14:textId="77777777" w:rsidR="00E455E8" w:rsidRDefault="00E455E8" w:rsidP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A2 (90 pontos por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go)</w:t>
            </w:r>
          </w:p>
          <w:p w14:paraId="49F7D136" w14:textId="77777777" w:rsidR="00E455E8" w:rsidRDefault="00E455E8" w:rsidP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A3 (80 pontos por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go)</w:t>
            </w:r>
          </w:p>
          <w:p w14:paraId="4321E739" w14:textId="77777777" w:rsidR="00E455E8" w:rsidRDefault="00E455E8" w:rsidP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A4 (70 pontos por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go)</w:t>
            </w:r>
          </w:p>
          <w:p w14:paraId="06B05C83" w14:textId="77777777" w:rsidR="00E455E8" w:rsidRDefault="00E455E8" w:rsidP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B1 (60 pontos por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go)</w:t>
            </w:r>
          </w:p>
          <w:p w14:paraId="36D9C929" w14:textId="77777777" w:rsidR="00E455E8" w:rsidRDefault="00E455E8" w:rsidP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B2 (50 pontos por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go)</w:t>
            </w:r>
          </w:p>
          <w:p w14:paraId="5C06ECE1" w14:textId="77777777" w:rsidR="00E455E8" w:rsidRDefault="00E455E8" w:rsidP="00E455E8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B3 (40 pontos por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go)</w:t>
            </w:r>
          </w:p>
          <w:p w14:paraId="306A1E23" w14:textId="10BA5C6B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Qualis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B4 (30 pontos por ar</w:t>
            </w:r>
            <w:r>
              <w:rPr>
                <w:sz w:val="21"/>
                <w:szCs w:val="21"/>
              </w:rPr>
              <w:t>ti</w:t>
            </w:r>
            <w:r>
              <w:rPr>
                <w:rFonts w:ascii="Calibri" w:hAnsi="Calibri" w:cs="Calibri"/>
                <w:sz w:val="21"/>
                <w:szCs w:val="21"/>
              </w:rPr>
              <w:t>go)</w:t>
            </w:r>
          </w:p>
        </w:tc>
        <w:tc>
          <w:tcPr>
            <w:tcW w:w="2175" w:type="dxa"/>
          </w:tcPr>
          <w:p w14:paraId="7212F93B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  <w:tc>
          <w:tcPr>
            <w:tcW w:w="1505" w:type="dxa"/>
          </w:tcPr>
          <w:p w14:paraId="5CF04870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</w:tr>
      <w:tr w:rsidR="00E455E8" w14:paraId="0A29B064" w14:textId="77777777" w:rsidTr="00E455E8">
        <w:tc>
          <w:tcPr>
            <w:tcW w:w="4531" w:type="dxa"/>
          </w:tcPr>
          <w:p w14:paraId="744DC5D8" w14:textId="3A8AC396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3. Patente depositada (70 pontos)</w:t>
            </w:r>
          </w:p>
        </w:tc>
        <w:tc>
          <w:tcPr>
            <w:tcW w:w="2175" w:type="dxa"/>
          </w:tcPr>
          <w:p w14:paraId="66ABF151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  <w:tc>
          <w:tcPr>
            <w:tcW w:w="1505" w:type="dxa"/>
          </w:tcPr>
          <w:p w14:paraId="6D55A862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</w:tr>
      <w:tr w:rsidR="00E455E8" w14:paraId="55E9B616" w14:textId="77777777" w:rsidTr="00E455E8">
        <w:tc>
          <w:tcPr>
            <w:tcW w:w="4531" w:type="dxa"/>
          </w:tcPr>
          <w:p w14:paraId="7C60984F" w14:textId="60FB0A5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4. Patente concedida (100 pontos)</w:t>
            </w:r>
          </w:p>
        </w:tc>
        <w:tc>
          <w:tcPr>
            <w:tcW w:w="2175" w:type="dxa"/>
          </w:tcPr>
          <w:p w14:paraId="20C00071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  <w:tc>
          <w:tcPr>
            <w:tcW w:w="1505" w:type="dxa"/>
          </w:tcPr>
          <w:p w14:paraId="00DDBEB4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</w:tr>
      <w:tr w:rsidR="00E455E8" w14:paraId="6AF03514" w14:textId="77777777" w:rsidTr="00E455E8">
        <w:tc>
          <w:tcPr>
            <w:tcW w:w="4531" w:type="dxa"/>
          </w:tcPr>
          <w:p w14:paraId="01FB5AC4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  <w:tc>
          <w:tcPr>
            <w:tcW w:w="2175" w:type="dxa"/>
          </w:tcPr>
          <w:p w14:paraId="22D5B7F1" w14:textId="6BAEDED3" w:rsidR="00E455E8" w:rsidRDefault="00E455E8" w:rsidP="00E455E8">
            <w:pPr>
              <w:ind w:left="0"/>
              <w:jc w:val="right"/>
              <w:rPr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TOTAL:</w:t>
            </w:r>
          </w:p>
        </w:tc>
        <w:tc>
          <w:tcPr>
            <w:tcW w:w="1505" w:type="dxa"/>
          </w:tcPr>
          <w:p w14:paraId="7BFE6EDE" w14:textId="77777777" w:rsidR="00E455E8" w:rsidRDefault="00E455E8" w:rsidP="00E455E8">
            <w:pPr>
              <w:ind w:left="0"/>
              <w:jc w:val="left"/>
              <w:rPr>
                <w:b/>
                <w:color w:val="000000"/>
              </w:rPr>
            </w:pPr>
          </w:p>
        </w:tc>
      </w:tr>
    </w:tbl>
    <w:p w14:paraId="0BF445F1" w14:textId="77777777" w:rsidR="00E455E8" w:rsidRDefault="00E455E8" w:rsidP="00E455E8">
      <w:pPr>
        <w:ind w:firstLine="284"/>
        <w:jc w:val="left"/>
        <w:rPr>
          <w:b/>
          <w:color w:val="000000"/>
        </w:rPr>
      </w:pPr>
    </w:p>
    <w:sectPr w:rsidR="00E455E8">
      <w:headerReference w:type="default" r:id="rId8"/>
      <w:footerReference w:type="default" r:id="rId9"/>
      <w:type w:val="continuous"/>
      <w:pgSz w:w="11907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12596" w14:textId="77777777" w:rsidR="002D0F92" w:rsidRDefault="00A82891">
      <w:r>
        <w:separator/>
      </w:r>
    </w:p>
  </w:endnote>
  <w:endnote w:type="continuationSeparator" w:id="0">
    <w:p w14:paraId="6FA42A02" w14:textId="77777777" w:rsidR="002D0F92" w:rsidRDefault="00A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ADD9" w14:textId="77777777" w:rsidR="00B048DE" w:rsidRDefault="00A828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84"/>
      <w:rPr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AAFF77" wp14:editId="70173B37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2" name="image1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B55F0" w14:textId="77777777" w:rsidR="002D0F92" w:rsidRDefault="00A82891">
      <w:r>
        <w:separator/>
      </w:r>
    </w:p>
  </w:footnote>
  <w:footnote w:type="continuationSeparator" w:id="0">
    <w:p w14:paraId="20FD61D3" w14:textId="77777777" w:rsidR="002D0F92" w:rsidRDefault="00A8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3249" w14:textId="77777777" w:rsidR="00B048DE" w:rsidRDefault="00A828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84"/>
      <w:jc w:val="center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inline distT="0" distB="0" distL="0" distR="0" wp14:anchorId="1C007A18" wp14:editId="5958AB28">
          <wp:extent cx="3105150" cy="1160145"/>
          <wp:effectExtent l="0" t="0" r="0" b="0"/>
          <wp:docPr id="1" name="image2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5150" cy="1160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5F5A"/>
    <w:multiLevelType w:val="multilevel"/>
    <w:tmpl w:val="9F3405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DE"/>
    <w:rsid w:val="00155C1C"/>
    <w:rsid w:val="002D0F92"/>
    <w:rsid w:val="005748BD"/>
    <w:rsid w:val="00A82891"/>
    <w:rsid w:val="00B048DE"/>
    <w:rsid w:val="00CF59CA"/>
    <w:rsid w:val="00E4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1E6E"/>
  <w15:docId w15:val="{A4F86C7C-E247-403D-996F-93973683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3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882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23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2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2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23D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17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8176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176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445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445"/>
    <w:rPr>
      <w:rFonts w:ascii="Times New Roman" w:hAnsi="Times New Roman" w:cs="Times New Roman"/>
      <w:sz w:val="18"/>
      <w:szCs w:val="18"/>
    </w:rPr>
  </w:style>
  <w:style w:type="paragraph" w:styleId="Corpodetexto">
    <w:name w:val="Body Text"/>
    <w:basedOn w:val="Normal"/>
    <w:link w:val="CorpodetextoChar"/>
    <w:rsid w:val="004A1D0B"/>
    <w:rPr>
      <w:rFonts w:eastAsia="Times New Roman"/>
      <w:color w:val="FF000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4A1D0B"/>
    <w:rPr>
      <w:rFonts w:ascii="Arial" w:eastAsia="Times New Roman" w:hAnsi="Arial" w:cs="Arial"/>
      <w:color w:val="FF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64182"/>
    <w:pPr>
      <w:tabs>
        <w:tab w:val="center" w:pos="4252"/>
        <w:tab w:val="right" w:pos="8504"/>
      </w:tabs>
    </w:pPr>
    <w:rPr>
      <w:rFonts w:eastAsia="Times New Roman"/>
      <w:color w:val="FF0000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64182"/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64182"/>
    <w:pPr>
      <w:tabs>
        <w:tab w:val="center" w:pos="4252"/>
        <w:tab w:val="right" w:pos="8504"/>
      </w:tabs>
    </w:pPr>
    <w:rPr>
      <w:rFonts w:eastAsia="Times New Roman"/>
      <w:color w:val="FF0000"/>
      <w:sz w:val="20"/>
      <w:szCs w:val="20"/>
    </w:rPr>
  </w:style>
  <w:style w:type="character" w:customStyle="1" w:styleId="RodapChar">
    <w:name w:val="Rodapé Char"/>
    <w:basedOn w:val="Fontepargpadro"/>
    <w:link w:val="Rodap"/>
    <w:rsid w:val="00364182"/>
    <w:rPr>
      <w:rFonts w:ascii="Arial" w:eastAsia="Times New Roman" w:hAnsi="Arial" w:cs="Arial"/>
      <w:color w:val="FF0000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1732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455E8"/>
    <w:pPr>
      <w:autoSpaceDE w:val="0"/>
      <w:autoSpaceDN w:val="0"/>
      <w:adjustRightInd w:val="0"/>
      <w:ind w:left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/einh/f26IcpWTFEa2RwijU9w==">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Schneider</dc:creator>
  <cp:lastModifiedBy>Marcelo Medeiros de Oliveira</cp:lastModifiedBy>
  <cp:revision>4</cp:revision>
  <dcterms:created xsi:type="dcterms:W3CDTF">2023-11-07T14:20:00Z</dcterms:created>
  <dcterms:modified xsi:type="dcterms:W3CDTF">2023-11-13T22:11:00Z</dcterms:modified>
</cp:coreProperties>
</file>