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401F9E">
        <w:rPr>
          <w:rFonts w:ascii="Calibri" w:hAnsi="Calibri" w:cs="Calibri"/>
          <w:sz w:val="24"/>
          <w:szCs w:val="24"/>
        </w:rPr>
        <w:t xml:space="preserve"> </w:t>
      </w:r>
      <w:r w:rsidR="00671D9C">
        <w:rPr>
          <w:rFonts w:ascii="Calibri" w:hAnsi="Calibri" w:cs="Calibri"/>
          <w:sz w:val="24"/>
          <w:szCs w:val="24"/>
        </w:rPr>
        <w:t>de Extensão, Cultura e Assuntos Estudantis</w:t>
      </w:r>
    </w:p>
    <w:p w:rsidR="00A06285" w:rsidRPr="00A06285" w:rsidRDefault="00A06285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383203" w:rsidP="00282C30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383203">
              <w:rPr>
                <w:rFonts w:asciiTheme="minorHAnsi" w:hAnsiTheme="minorHAnsi" w:cstheme="minorHAnsi"/>
                <w:b/>
                <w:sz w:val="24"/>
                <w:szCs w:val="24"/>
              </w:rPr>
              <w:t>RELATÓRIO DE APRECIAÇÃO DO ESTATUTO DA LIGA DE XXXXX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0C6529" w:rsidP="000C6529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0C6529">
              <w:rPr>
                <w:rFonts w:asciiTheme="minorHAnsi" w:hAnsiTheme="minorHAnsi" w:cstheme="minorHAnsi"/>
                <w:bCs/>
              </w:rPr>
              <w:t>Instrução Normativa 05/2021/</w:t>
            </w:r>
            <w:proofErr w:type="spellStart"/>
            <w:r w:rsidRPr="000C6529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0C6529" w:rsidP="000C6529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30/03/2021</w:t>
            </w:r>
          </w:p>
        </w:tc>
      </w:tr>
    </w:tbl>
    <w:p w:rsidR="00460FE3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:rsidR="00A4184D" w:rsidRDefault="00A4184D" w:rsidP="00A4184D">
      <w:pPr>
        <w:spacing w:after="120"/>
        <w:jc w:val="both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Em análise do presente estatuto foi observado (ou não) a presença dos seguintes itens obrigatórios:</w:t>
      </w:r>
    </w:p>
    <w:p w:rsidR="000C6529" w:rsidRPr="00A4184D" w:rsidRDefault="000C6529" w:rsidP="00A4184D">
      <w:pPr>
        <w:spacing w:after="120"/>
        <w:jc w:val="both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a) denominação da Liga Acadêmica;</w:t>
      </w: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b) objetivos;</w:t>
      </w: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c) composição e forma de seleção de novos membros;</w:t>
      </w: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d) informações gerais sobre seu funcionamento;</w:t>
      </w: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e) informações sobre o uso de recursos financeiros próprios;</w:t>
      </w: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f) atribuições e forma de eleição da diretoria;</w:t>
      </w:r>
    </w:p>
    <w:p w:rsidR="000C6529" w:rsidRPr="000C6529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A4184D" w:rsidRPr="00A4184D" w:rsidRDefault="000C6529" w:rsidP="000C6529">
      <w:pPr>
        <w:spacing w:after="0" w:line="240" w:lineRule="auto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0C6529">
        <w:rPr>
          <w:rFonts w:eastAsia="SimSun" w:cstheme="minorHAnsi"/>
          <w:bCs/>
          <w:kern w:val="2"/>
          <w:sz w:val="24"/>
          <w:szCs w:val="24"/>
          <w:lang w:eastAsia="zh-CN"/>
        </w:rPr>
        <w:t>g) Código Disciplinar.</w:t>
      </w:r>
    </w:p>
    <w:p w:rsidR="00A4184D" w:rsidRPr="00A4184D" w:rsidRDefault="00A4184D" w:rsidP="00A4184D">
      <w:pPr>
        <w:spacing w:after="120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C3624A" w:rsidRPr="00C3624A" w:rsidRDefault="00C3624A" w:rsidP="00C3624A">
      <w:pPr>
        <w:spacing w:after="120"/>
        <w:jc w:val="both"/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</w:pPr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>C</w:t>
      </w:r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 xml:space="preserve">ritérios </w:t>
      </w:r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>a serem</w:t>
      </w:r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 xml:space="preserve"> observados na emissão do parecer: Relevânc</w:t>
      </w:r>
      <w:bookmarkStart w:id="0" w:name="_GoBack"/>
      <w:bookmarkEnd w:id="0"/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>ia acadêmica e social da proposta; clareza dos objetivos; modelo de gestão; e análise conceituais da proposta de formação da Liga</w:t>
      </w:r>
      <w:r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>.</w:t>
      </w:r>
    </w:p>
    <w:p w:rsidR="00A4184D" w:rsidRPr="00A4184D" w:rsidRDefault="00C3624A" w:rsidP="00C3624A">
      <w:pPr>
        <w:spacing w:after="120"/>
        <w:jc w:val="both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>(Se necessário</w:t>
      </w:r>
      <w:proofErr w:type="gramStart"/>
      <w:r w:rsidRPr="00C3624A">
        <w:rPr>
          <w:rFonts w:eastAsia="SimSun" w:cstheme="minorHAnsi"/>
          <w:bCs/>
          <w:color w:val="FF0000"/>
          <w:kern w:val="2"/>
          <w:sz w:val="24"/>
          <w:szCs w:val="24"/>
          <w:lang w:eastAsia="zh-CN"/>
        </w:rPr>
        <w:t xml:space="preserve">) </w:t>
      </w:r>
      <w:r w:rsidR="00A4184D"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No entanto</w:t>
      </w:r>
      <w:proofErr w:type="gramEnd"/>
      <w:r w:rsidR="00A4184D"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, foram observadas as seguintes inadequações no texto, as quais precisam ser reformuladas:</w:t>
      </w:r>
    </w:p>
    <w:p w:rsidR="00A4184D" w:rsidRPr="00A4184D" w:rsidRDefault="00A4184D" w:rsidP="00A4184D">
      <w:pPr>
        <w:spacing w:after="120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•</w:t>
      </w: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ab/>
      </w:r>
    </w:p>
    <w:p w:rsidR="00A4184D" w:rsidRPr="00A4184D" w:rsidRDefault="00A4184D" w:rsidP="00A4184D">
      <w:pPr>
        <w:spacing w:after="120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•</w:t>
      </w: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ab/>
      </w:r>
    </w:p>
    <w:p w:rsidR="00A4184D" w:rsidRPr="00A4184D" w:rsidRDefault="00A4184D" w:rsidP="00A4184D">
      <w:pPr>
        <w:spacing w:after="120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•</w:t>
      </w: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ab/>
      </w:r>
    </w:p>
    <w:p w:rsidR="00A4184D" w:rsidRPr="00A4184D" w:rsidRDefault="00A4184D" w:rsidP="00A4184D">
      <w:pPr>
        <w:spacing w:after="120"/>
        <w:jc w:val="center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 xml:space="preserve">Parecer Final: </w:t>
      </w:r>
      <w:proofErr w:type="gramStart"/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 xml:space="preserve">(  </w:t>
      </w:r>
      <w:proofErr w:type="gramEnd"/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 xml:space="preserve"> ) favorável a aprovação com pendências  (   ) favorável a aprovação</w:t>
      </w:r>
    </w:p>
    <w:p w:rsidR="00A4184D" w:rsidRPr="00A4184D" w:rsidRDefault="00A4184D" w:rsidP="00A4184D">
      <w:pPr>
        <w:spacing w:after="120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A4184D" w:rsidRPr="00A4184D" w:rsidRDefault="000C6529" w:rsidP="00A4184D">
      <w:pPr>
        <w:spacing w:after="120"/>
        <w:jc w:val="center"/>
        <w:rPr>
          <w:rFonts w:eastAsia="SimSun" w:cstheme="minorHAnsi"/>
          <w:bCs/>
          <w:kern w:val="2"/>
          <w:sz w:val="24"/>
          <w:szCs w:val="24"/>
          <w:lang w:eastAsia="zh-CN"/>
        </w:rPr>
      </w:pPr>
      <w:r>
        <w:rPr>
          <w:rFonts w:eastAsia="SimSun" w:cstheme="minorHAnsi"/>
          <w:bCs/>
          <w:kern w:val="2"/>
          <w:sz w:val="24"/>
          <w:szCs w:val="24"/>
          <w:lang w:eastAsia="zh-CN"/>
        </w:rPr>
        <w:t>Porto Alegre, XX de XXX de 20X</w:t>
      </w:r>
      <w:r w:rsidR="00A4184D"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X.</w:t>
      </w:r>
    </w:p>
    <w:p w:rsidR="00A4184D" w:rsidRPr="00A4184D" w:rsidRDefault="00A4184D" w:rsidP="00A4184D">
      <w:pPr>
        <w:spacing w:after="120"/>
        <w:rPr>
          <w:rFonts w:eastAsia="SimSun" w:cstheme="minorHAnsi"/>
          <w:bCs/>
          <w:kern w:val="2"/>
          <w:sz w:val="24"/>
          <w:szCs w:val="24"/>
          <w:lang w:eastAsia="zh-CN"/>
        </w:rPr>
      </w:pPr>
    </w:p>
    <w:p w:rsidR="00383203" w:rsidRPr="00A4184D" w:rsidRDefault="00A4184D" w:rsidP="00A4184D">
      <w:pPr>
        <w:spacing w:after="120"/>
        <w:jc w:val="center"/>
        <w:rPr>
          <w:rFonts w:eastAsia="SimSun" w:cstheme="minorHAnsi"/>
          <w:bCs/>
          <w:kern w:val="2"/>
          <w:sz w:val="24"/>
          <w:szCs w:val="24"/>
          <w:lang w:eastAsia="zh-CN"/>
        </w:rPr>
      </w:pPr>
      <w:r w:rsidRPr="00A4184D">
        <w:rPr>
          <w:rFonts w:eastAsia="SimSun" w:cstheme="minorHAnsi"/>
          <w:bCs/>
          <w:kern w:val="2"/>
          <w:sz w:val="24"/>
          <w:szCs w:val="24"/>
          <w:lang w:eastAsia="zh-CN"/>
        </w:rPr>
        <w:t>Identificação do Relator</w:t>
      </w:r>
    </w:p>
    <w:sectPr w:rsidR="00383203" w:rsidRPr="00A4184D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C3624A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C3624A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37A9EE" wp14:editId="2F7EF9B6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7A9EE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C362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2A6C7C" wp14:editId="0390B335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9B"/>
    <w:rsid w:val="00043F03"/>
    <w:rsid w:val="000638A4"/>
    <w:rsid w:val="000C6529"/>
    <w:rsid w:val="001456AE"/>
    <w:rsid w:val="001817E1"/>
    <w:rsid w:val="001C1EF9"/>
    <w:rsid w:val="001E4528"/>
    <w:rsid w:val="0025176E"/>
    <w:rsid w:val="00272BD1"/>
    <w:rsid w:val="00282C30"/>
    <w:rsid w:val="002A090C"/>
    <w:rsid w:val="002D2F75"/>
    <w:rsid w:val="00383203"/>
    <w:rsid w:val="00401F9E"/>
    <w:rsid w:val="00460FE3"/>
    <w:rsid w:val="004743C8"/>
    <w:rsid w:val="004E4FB8"/>
    <w:rsid w:val="00610190"/>
    <w:rsid w:val="006425B6"/>
    <w:rsid w:val="00671D9C"/>
    <w:rsid w:val="006B20C5"/>
    <w:rsid w:val="00704480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184D"/>
    <w:rsid w:val="00A43A52"/>
    <w:rsid w:val="00A814A1"/>
    <w:rsid w:val="00AA4658"/>
    <w:rsid w:val="00AF3D44"/>
    <w:rsid w:val="00BC2C6A"/>
    <w:rsid w:val="00C3624A"/>
    <w:rsid w:val="00C41921"/>
    <w:rsid w:val="00C56A1D"/>
    <w:rsid w:val="00D75CC6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B6C63FA"/>
  <w15:docId w15:val="{DA4A19EE-C134-448B-96BA-676C88E0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B6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AF3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4</cp:revision>
  <cp:lastPrinted>2019-01-30T15:47:00Z</cp:lastPrinted>
  <dcterms:created xsi:type="dcterms:W3CDTF">2020-06-05T11:56:00Z</dcterms:created>
  <dcterms:modified xsi:type="dcterms:W3CDTF">2021-09-28T13:41:00Z</dcterms:modified>
</cp:coreProperties>
</file>